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C5C" w:rsidRPr="00676C5C" w:rsidRDefault="00676C5C" w:rsidP="00676C5C">
      <w:pPr>
        <w:spacing w:line="900" w:lineRule="exact"/>
        <w:jc w:val="center"/>
        <w:rPr>
          <w:rFonts w:ascii="方正小标宋_GBK" w:eastAsia="方正小标宋_GBK" w:hAnsi="Times New Roman" w:cs="Times New Roman"/>
          <w:sz w:val="52"/>
          <w:szCs w:val="52"/>
        </w:rPr>
      </w:pPr>
      <w:bookmarkStart w:id="0" w:name="_Toc26071"/>
      <w:bookmarkStart w:id="1" w:name="_Toc26065"/>
      <w:bookmarkStart w:id="2" w:name="_Toc29328"/>
      <w:bookmarkStart w:id="3" w:name="_Toc1758"/>
      <w:bookmarkStart w:id="4" w:name="_Toc17558"/>
      <w:r w:rsidRPr="00676C5C">
        <w:rPr>
          <w:rFonts w:ascii="方正小标宋_GBK" w:eastAsia="方正小标宋_GBK" w:hAnsi="Times New Roman" w:cs="Times New Roman" w:hint="eastAsia"/>
          <w:sz w:val="52"/>
          <w:szCs w:val="52"/>
        </w:rPr>
        <w:t>部门整体支出绩效评价自评报告</w:t>
      </w:r>
    </w:p>
    <w:p w:rsidR="00676C5C" w:rsidRPr="00676C5C" w:rsidRDefault="00676C5C" w:rsidP="00676C5C">
      <w:pPr>
        <w:jc w:val="center"/>
        <w:rPr>
          <w:rFonts w:ascii="宋体" w:eastAsia="宋体" w:hAnsi="宋体" w:cs="Times New Roman"/>
          <w:sz w:val="32"/>
          <w:szCs w:val="32"/>
        </w:rPr>
      </w:pPr>
      <w:r w:rsidRPr="00676C5C">
        <w:rPr>
          <w:rFonts w:ascii="宋体" w:eastAsia="宋体" w:hAnsi="宋体" w:cs="Times New Roman" w:hint="eastAsia"/>
          <w:sz w:val="32"/>
          <w:szCs w:val="32"/>
        </w:rPr>
        <w:t>（20</w:t>
      </w:r>
      <w:r>
        <w:rPr>
          <w:rFonts w:ascii="宋体" w:eastAsia="宋体" w:hAnsi="宋体" w:cs="Times New Roman" w:hint="eastAsia"/>
          <w:sz w:val="32"/>
          <w:szCs w:val="32"/>
        </w:rPr>
        <w:t>22</w:t>
      </w:r>
      <w:r w:rsidRPr="00676C5C">
        <w:rPr>
          <w:rFonts w:ascii="宋体" w:eastAsia="宋体" w:hAnsi="宋体" w:cs="Times New Roman" w:hint="eastAsia"/>
          <w:sz w:val="32"/>
          <w:szCs w:val="32"/>
        </w:rPr>
        <w:t>年度）</w:t>
      </w:r>
    </w:p>
    <w:p w:rsidR="00676C5C" w:rsidRPr="00676C5C" w:rsidRDefault="00676C5C" w:rsidP="00676C5C">
      <w:pPr>
        <w:rPr>
          <w:rFonts w:ascii="宋体" w:eastAsia="宋体" w:hAnsi="宋体" w:cs="Times New Roman"/>
          <w:sz w:val="32"/>
          <w:szCs w:val="32"/>
        </w:rPr>
      </w:pPr>
    </w:p>
    <w:p w:rsidR="00676C5C" w:rsidRPr="00676C5C" w:rsidRDefault="00676C5C" w:rsidP="00676C5C">
      <w:pPr>
        <w:rPr>
          <w:rFonts w:ascii="宋体" w:eastAsia="宋体" w:hAnsi="宋体" w:cs="Times New Roman"/>
          <w:sz w:val="32"/>
          <w:szCs w:val="32"/>
        </w:rPr>
      </w:pPr>
    </w:p>
    <w:p w:rsidR="00676C5C" w:rsidRPr="00676C5C" w:rsidRDefault="00676C5C" w:rsidP="00676C5C">
      <w:pPr>
        <w:spacing w:line="800" w:lineRule="exact"/>
        <w:ind w:firstLineChars="192" w:firstLine="614"/>
        <w:rPr>
          <w:rFonts w:ascii="仿宋_GB2312" w:eastAsia="仿宋_GB2312" w:hAnsi="Times New Roman" w:cs="Times New Roman"/>
          <w:sz w:val="32"/>
          <w:szCs w:val="24"/>
          <w:u w:val="single"/>
        </w:rPr>
      </w:pPr>
      <w:r w:rsidRPr="00676C5C">
        <w:rPr>
          <w:rFonts w:ascii="仿宋_GB2312" w:eastAsia="仿宋_GB2312" w:hAnsi="Times New Roman" w:cs="Times New Roman" w:hint="eastAsia"/>
          <w:sz w:val="32"/>
          <w:szCs w:val="24"/>
        </w:rPr>
        <w:t>项目名称</w:t>
      </w:r>
      <w:r w:rsidRPr="00676C5C">
        <w:rPr>
          <w:rFonts w:ascii="仿宋_GB2312" w:eastAsia="仿宋_GB2312" w:hAnsi="Times New Roman" w:cs="Times New Roman" w:hint="eastAsia"/>
          <w:sz w:val="32"/>
          <w:szCs w:val="24"/>
          <w:u w:val="single"/>
        </w:rPr>
        <w:t xml:space="preserve"> ：                                  </w:t>
      </w:r>
    </w:p>
    <w:p w:rsidR="00676C5C" w:rsidRPr="00676C5C" w:rsidRDefault="00676C5C" w:rsidP="00676C5C">
      <w:pPr>
        <w:spacing w:line="900" w:lineRule="exact"/>
        <w:ind w:firstLineChars="200" w:firstLine="640"/>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项目单位</w:t>
      </w:r>
      <w:r w:rsidRPr="00676C5C">
        <w:rPr>
          <w:rFonts w:ascii="仿宋_GB2312" w:eastAsia="仿宋_GB2312" w:hAnsi="Times New Roman" w:cs="Times New Roman" w:hint="eastAsia"/>
          <w:sz w:val="32"/>
          <w:szCs w:val="24"/>
          <w:u w:val="single"/>
        </w:rPr>
        <w:t xml:space="preserve"> ： 玉林市城市管理监督局</w:t>
      </w:r>
      <w:r w:rsidR="00084B68">
        <w:rPr>
          <w:rFonts w:ascii="仿宋_GB2312" w:eastAsia="仿宋_GB2312" w:hAnsi="Times New Roman" w:cs="Times New Roman" w:hint="eastAsia"/>
          <w:sz w:val="32"/>
          <w:szCs w:val="24"/>
          <w:u w:val="single"/>
        </w:rPr>
        <w:t xml:space="preserve">         </w:t>
      </w:r>
      <w:r w:rsidRPr="00676C5C">
        <w:rPr>
          <w:rFonts w:ascii="仿宋_GB2312" w:eastAsia="仿宋_GB2312" w:hAnsi="Times New Roman" w:cs="Times New Roman" w:hint="eastAsia"/>
          <w:sz w:val="32"/>
          <w:szCs w:val="24"/>
          <w:u w:val="single"/>
        </w:rPr>
        <w:t xml:space="preserve">    </w:t>
      </w:r>
    </w:p>
    <w:p w:rsidR="00676C5C" w:rsidRPr="00676C5C" w:rsidRDefault="00676C5C" w:rsidP="00676C5C">
      <w:pPr>
        <w:spacing w:line="800" w:lineRule="exact"/>
        <w:ind w:firstLineChars="192" w:firstLine="614"/>
        <w:rPr>
          <w:rFonts w:ascii="仿宋_GB2312" w:eastAsia="仿宋_GB2312" w:hAnsi="Times New Roman" w:cs="Times New Roman"/>
          <w:sz w:val="32"/>
          <w:szCs w:val="24"/>
          <w:u w:val="single"/>
        </w:rPr>
      </w:pPr>
      <w:r w:rsidRPr="00676C5C">
        <w:rPr>
          <w:rFonts w:ascii="仿宋_GB2312" w:eastAsia="仿宋_GB2312" w:hAnsi="Times New Roman" w:cs="Times New Roman" w:hint="eastAsia"/>
          <w:sz w:val="32"/>
          <w:szCs w:val="24"/>
        </w:rPr>
        <w:t>主管部门</w:t>
      </w:r>
      <w:r w:rsidRPr="00676C5C">
        <w:rPr>
          <w:rFonts w:ascii="仿宋_GB2312" w:eastAsia="仿宋_GB2312" w:hAnsi="Times New Roman" w:cs="Times New Roman" w:hint="eastAsia"/>
          <w:sz w:val="32"/>
          <w:szCs w:val="24"/>
          <w:u w:val="single"/>
        </w:rPr>
        <w:t xml:space="preserve"> ：                                 </w:t>
      </w:r>
    </w:p>
    <w:p w:rsidR="00676C5C" w:rsidRPr="00676C5C" w:rsidRDefault="00676C5C" w:rsidP="00676C5C">
      <w:pPr>
        <w:spacing w:line="800" w:lineRule="exact"/>
        <w:ind w:firstLineChars="192" w:firstLine="614"/>
        <w:rPr>
          <w:rFonts w:ascii="仿宋_GB2312" w:eastAsia="仿宋_GB2312" w:hAnsi="Times New Roman" w:cs="Times New Roman"/>
          <w:sz w:val="32"/>
          <w:szCs w:val="24"/>
        </w:rPr>
      </w:pPr>
    </w:p>
    <w:p w:rsidR="00676C5C" w:rsidRPr="00676C5C" w:rsidRDefault="00676C5C" w:rsidP="00676C5C">
      <w:pPr>
        <w:spacing w:line="800" w:lineRule="exact"/>
        <w:ind w:firstLineChars="192" w:firstLine="614"/>
        <w:rPr>
          <w:rFonts w:ascii="仿宋_GB2312" w:eastAsia="仿宋_GB2312" w:hAnsi="Times New Roman" w:cs="Times New Roman"/>
          <w:sz w:val="32"/>
          <w:szCs w:val="24"/>
        </w:rPr>
      </w:pPr>
    </w:p>
    <w:p w:rsidR="00676C5C" w:rsidRPr="00676C5C" w:rsidRDefault="00676C5C" w:rsidP="00676C5C">
      <w:pPr>
        <w:spacing w:line="800" w:lineRule="exact"/>
        <w:ind w:firstLineChars="192" w:firstLine="614"/>
        <w:rPr>
          <w:rFonts w:ascii="仿宋_GB2312" w:eastAsia="仿宋_GB2312" w:hAnsi="Times New Roman" w:cs="Times New Roman"/>
          <w:sz w:val="32"/>
          <w:szCs w:val="24"/>
        </w:rPr>
      </w:pPr>
    </w:p>
    <w:p w:rsidR="00676C5C" w:rsidRPr="00676C5C" w:rsidRDefault="00676C5C" w:rsidP="00676C5C">
      <w:pPr>
        <w:spacing w:line="800" w:lineRule="exact"/>
        <w:ind w:firstLineChars="192" w:firstLine="614"/>
        <w:rPr>
          <w:rFonts w:ascii="仿宋_GB2312" w:eastAsia="仿宋_GB2312" w:hAnsi="Times New Roman" w:cs="Times New Roman"/>
          <w:sz w:val="32"/>
          <w:szCs w:val="24"/>
        </w:rPr>
      </w:pPr>
    </w:p>
    <w:p w:rsidR="00676C5C" w:rsidRPr="00676C5C" w:rsidRDefault="00676C5C" w:rsidP="00676C5C">
      <w:pPr>
        <w:spacing w:line="800" w:lineRule="exact"/>
        <w:ind w:firstLineChars="192" w:firstLine="614"/>
        <w:rPr>
          <w:rFonts w:ascii="仿宋_GB2312" w:eastAsia="仿宋_GB2312" w:hAnsi="Times New Roman" w:cs="Times New Roman"/>
          <w:sz w:val="28"/>
          <w:szCs w:val="24"/>
        </w:rPr>
      </w:pPr>
      <w:r w:rsidRPr="00676C5C">
        <w:rPr>
          <w:rFonts w:ascii="仿宋_GB2312" w:eastAsia="仿宋_GB2312" w:hAnsi="Times New Roman" w:cs="Times New Roman" w:hint="eastAsia"/>
          <w:sz w:val="32"/>
          <w:szCs w:val="24"/>
        </w:rPr>
        <w:t xml:space="preserve">评价类型  </w:t>
      </w:r>
      <w:r w:rsidRPr="00676C5C">
        <w:rPr>
          <w:rFonts w:ascii="仿宋_GB2312" w:eastAsia="仿宋_GB2312" w:hAnsi="Times New Roman" w:cs="Times New Roman" w:hint="eastAsia"/>
          <w:sz w:val="28"/>
          <w:szCs w:val="24"/>
        </w:rPr>
        <w:t>事前评价□      事中评价□       事后评价</w:t>
      </w:r>
      <w:r w:rsidRPr="00676C5C">
        <w:rPr>
          <w:rFonts w:ascii="仿宋_GB2312" w:eastAsia="仿宋_GB2312" w:hAnsi="Times New Roman" w:cs="Times New Roman" w:hint="eastAsia"/>
          <w:sz w:val="28"/>
          <w:szCs w:val="24"/>
        </w:rPr>
        <w:sym w:font="Wingdings 2" w:char="0052"/>
      </w:r>
    </w:p>
    <w:p w:rsidR="00676C5C" w:rsidRPr="00676C5C" w:rsidRDefault="00676C5C" w:rsidP="00676C5C">
      <w:pPr>
        <w:spacing w:line="800" w:lineRule="exact"/>
        <w:ind w:firstLineChars="192" w:firstLine="614"/>
        <w:rPr>
          <w:rFonts w:ascii="宋体" w:eastAsia="宋体" w:hAnsi="宋体" w:cs="Times New Roman"/>
          <w:szCs w:val="21"/>
        </w:rPr>
      </w:pPr>
      <w:r w:rsidRPr="00676C5C">
        <w:rPr>
          <w:rFonts w:ascii="仿宋_GB2312" w:eastAsia="仿宋_GB2312" w:hAnsi="Times New Roman" w:cs="Times New Roman" w:hint="eastAsia"/>
          <w:sz w:val="32"/>
          <w:szCs w:val="24"/>
        </w:rPr>
        <w:t>评价方式：</w:t>
      </w:r>
      <w:r w:rsidRPr="00676C5C">
        <w:rPr>
          <w:rFonts w:ascii="仿宋_GB2312" w:eastAsia="仿宋_GB2312" w:hAnsi="Times New Roman" w:cs="Times New Roman" w:hint="eastAsia"/>
          <w:sz w:val="28"/>
          <w:szCs w:val="28"/>
        </w:rPr>
        <w:t>部门（单位）绩效自评</w:t>
      </w:r>
      <w:r w:rsidRPr="00676C5C">
        <w:rPr>
          <w:rFonts w:ascii="仿宋_GB2312" w:eastAsia="仿宋_GB2312" w:hAnsi="Times New Roman" w:cs="Times New Roman" w:hint="eastAsia"/>
          <w:sz w:val="28"/>
          <w:szCs w:val="24"/>
        </w:rPr>
        <w:sym w:font="Wingdings 2" w:char="0052"/>
      </w:r>
      <w:r w:rsidRPr="00676C5C">
        <w:rPr>
          <w:rFonts w:ascii="仿宋_GB2312" w:eastAsia="仿宋_GB2312" w:hAnsi="Times New Roman" w:cs="Times New Roman" w:hint="eastAsia"/>
          <w:sz w:val="28"/>
          <w:szCs w:val="24"/>
        </w:rPr>
        <w:t xml:space="preserve">  </w:t>
      </w:r>
      <w:r w:rsidRPr="00676C5C">
        <w:rPr>
          <w:rFonts w:ascii="仿宋_GB2312" w:eastAsia="仿宋_GB2312" w:hAnsi="Times New Roman" w:cs="Times New Roman" w:hint="eastAsia"/>
          <w:sz w:val="28"/>
          <w:szCs w:val="28"/>
        </w:rPr>
        <w:t>财政部门组织评价</w:t>
      </w:r>
      <w:r w:rsidRPr="00676C5C">
        <w:rPr>
          <w:rFonts w:ascii="仿宋_GB2312" w:eastAsia="仿宋_GB2312" w:hAnsi="Times New Roman" w:cs="Times New Roman" w:hint="eastAsia"/>
          <w:sz w:val="25"/>
          <w:szCs w:val="25"/>
        </w:rPr>
        <w:t>□</w:t>
      </w:r>
    </w:p>
    <w:p w:rsidR="00676C5C" w:rsidRPr="00676C5C" w:rsidRDefault="00676C5C" w:rsidP="00676C5C">
      <w:pPr>
        <w:jc w:val="center"/>
        <w:rPr>
          <w:rFonts w:ascii="宋体" w:eastAsia="宋体" w:hAnsi="宋体" w:cs="Times New Roman"/>
          <w:szCs w:val="21"/>
        </w:rPr>
      </w:pPr>
    </w:p>
    <w:p w:rsidR="00676C5C" w:rsidRPr="00676C5C" w:rsidRDefault="00676C5C" w:rsidP="00676C5C">
      <w:pPr>
        <w:jc w:val="center"/>
        <w:rPr>
          <w:rFonts w:ascii="宋体" w:eastAsia="宋体" w:hAnsi="宋体" w:cs="Times New Roman"/>
          <w:szCs w:val="21"/>
        </w:rPr>
      </w:pPr>
    </w:p>
    <w:p w:rsidR="00676C5C" w:rsidRPr="00676C5C" w:rsidRDefault="00676C5C" w:rsidP="00676C5C">
      <w:pPr>
        <w:ind w:firstLineChars="200" w:firstLine="883"/>
        <w:jc w:val="center"/>
        <w:rPr>
          <w:rFonts w:ascii="宋体" w:eastAsia="宋体" w:hAnsi="宋体" w:cs="Times New Roman"/>
          <w:b/>
          <w:sz w:val="44"/>
          <w:szCs w:val="44"/>
        </w:rPr>
      </w:pPr>
    </w:p>
    <w:p w:rsidR="00676C5C" w:rsidRPr="00676C5C" w:rsidRDefault="00676C5C" w:rsidP="00676C5C">
      <w:pPr>
        <w:ind w:firstLineChars="200" w:firstLine="883"/>
        <w:jc w:val="center"/>
        <w:rPr>
          <w:rFonts w:ascii="宋体" w:eastAsia="宋体" w:hAnsi="宋体" w:cs="Times New Roman"/>
          <w:b/>
          <w:sz w:val="44"/>
          <w:szCs w:val="44"/>
        </w:rPr>
      </w:pPr>
    </w:p>
    <w:p w:rsidR="00676C5C" w:rsidRPr="00676C5C" w:rsidRDefault="00676C5C" w:rsidP="00676C5C">
      <w:pPr>
        <w:ind w:firstLineChars="200" w:firstLine="883"/>
        <w:jc w:val="center"/>
        <w:rPr>
          <w:rFonts w:ascii="宋体" w:eastAsia="宋体" w:hAnsi="宋体" w:cs="Times New Roman"/>
          <w:b/>
          <w:sz w:val="44"/>
          <w:szCs w:val="44"/>
        </w:rPr>
      </w:pPr>
    </w:p>
    <w:p w:rsidR="00676C5C" w:rsidRPr="00676C5C" w:rsidRDefault="00676C5C" w:rsidP="00676C5C">
      <w:pPr>
        <w:ind w:firstLineChars="200" w:firstLine="883"/>
        <w:jc w:val="center"/>
        <w:rPr>
          <w:rFonts w:ascii="宋体" w:eastAsia="宋体" w:hAnsi="宋体" w:cs="Times New Roman"/>
          <w:b/>
          <w:sz w:val="44"/>
          <w:szCs w:val="44"/>
        </w:rPr>
      </w:pPr>
    </w:p>
    <w:p w:rsidR="00676C5C" w:rsidRPr="00676C5C" w:rsidRDefault="00676C5C" w:rsidP="00676C5C">
      <w:pPr>
        <w:ind w:firstLineChars="200" w:firstLine="883"/>
        <w:jc w:val="center"/>
        <w:rPr>
          <w:rFonts w:ascii="宋体" w:eastAsia="宋体" w:hAnsi="宋体" w:cs="Times New Roman"/>
          <w:b/>
          <w:sz w:val="44"/>
          <w:szCs w:val="44"/>
        </w:rPr>
      </w:pPr>
    </w:p>
    <w:p w:rsidR="00676C5C" w:rsidRPr="00676C5C" w:rsidRDefault="00676C5C" w:rsidP="00DE60EA">
      <w:pPr>
        <w:keepNext/>
        <w:keepLines/>
        <w:spacing w:line="360" w:lineRule="auto"/>
        <w:ind w:firstLineChars="200" w:firstLine="640"/>
        <w:outlineLvl w:val="0"/>
        <w:rPr>
          <w:rFonts w:ascii="Times New Roman" w:eastAsia="黑体" w:hAnsi="Times New Roman" w:cs="Times New Roman"/>
          <w:bCs/>
          <w:color w:val="000000" w:themeColor="text1"/>
          <w:kern w:val="44"/>
          <w:sz w:val="32"/>
          <w:szCs w:val="32"/>
        </w:rPr>
      </w:pPr>
    </w:p>
    <w:p w:rsidR="00DE60EA" w:rsidRPr="00084B68" w:rsidRDefault="00DE60EA" w:rsidP="00084B68">
      <w:pPr>
        <w:spacing w:line="800" w:lineRule="exact"/>
        <w:ind w:firstLineChars="192" w:firstLine="578"/>
        <w:rPr>
          <w:rFonts w:ascii="仿宋_GB2312" w:eastAsia="仿宋_GB2312" w:hAnsi="Times New Roman" w:cs="Times New Roman"/>
          <w:b/>
          <w:sz w:val="32"/>
          <w:szCs w:val="24"/>
        </w:rPr>
      </w:pPr>
      <w:r w:rsidRPr="00084B68">
        <w:rPr>
          <w:rFonts w:ascii="仿宋_GB2312" w:eastAsia="仿宋_GB2312" w:hAnsi="Times New Roman" w:cs="Times New Roman" w:hint="eastAsia"/>
          <w:b/>
          <w:bCs/>
          <w:color w:val="000000" w:themeColor="text1"/>
          <w:kern w:val="44"/>
          <w:sz w:val="30"/>
          <w:szCs w:val="30"/>
        </w:rPr>
        <w:t>一</w:t>
      </w:r>
      <w:r w:rsidRPr="00084B68">
        <w:rPr>
          <w:rFonts w:ascii="仿宋_GB2312" w:eastAsia="仿宋_GB2312" w:hAnsi="Times New Roman" w:cs="Times New Roman" w:hint="eastAsia"/>
          <w:b/>
          <w:sz w:val="32"/>
          <w:szCs w:val="24"/>
        </w:rPr>
        <w:t>、部门基本情况</w:t>
      </w:r>
      <w:bookmarkEnd w:id="0"/>
      <w:bookmarkEnd w:id="1"/>
      <w:bookmarkEnd w:id="2"/>
      <w:bookmarkEnd w:id="3"/>
      <w:bookmarkEnd w:id="4"/>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一、概况</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（一）单位基本职能</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一、贯彻执行国家和自治区、市有关城市管理（含市容和环境卫生、市政工程、园林绿化、城市照明、城市管理行政执法等）方面的法律、法规、规章和规定；起草城市管理方面的规范性文件，经市人民政府批准后实施。拟订玉林城区建成区范围内的城市管理方面的管理标准，并按管理权限组织实施、监督。</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二、参与编制城市市容和环境卫生、道路、排水、桥梁、路灯、排涝泵站、公交亭、路名牌、园林绿化、公园等城市管理方面规划。</w:t>
      </w: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 xml:space="preserve">三、负责拟订玉林城区建成区范围内的城市管理方面的建设、管理、维护计划和城市建设管理经费、专项整治经费计划并组织实施、监督使用。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四、负责城市市容和环境卫生管理工作；负责环境卫生</w:t>
      </w:r>
      <w:r w:rsidRPr="00676C5C">
        <w:rPr>
          <w:rFonts w:ascii="仿宋_GB2312" w:eastAsia="仿宋_GB2312" w:hAnsi="Times New Roman" w:cs="Times New Roman" w:hint="eastAsia"/>
          <w:sz w:val="32"/>
          <w:szCs w:val="24"/>
        </w:rPr>
        <w:lastRenderedPageBreak/>
        <w:t>科研与监测工作；负责生活垃圾处置、粪便处置、餐厨垃圾处置和建筑垃圾处置管理；负责城市环卫设施建设和管理工作；负责市本级建筑垃圾和工程渣土清运、处置企业资质的核定。负责关闭、闲置、拆除城市环卫设施许可，从事生活垃圾（含粪便）经营性清扫、收集、运输、处理服务审批。</w:t>
      </w: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五、负责城市道路、排水、桥梁（涵）、照明等市政设施的管理工作。参与市人民政府组织的市政工程设施发展规划的编制，提出年度建设计划，经市人民政府批准后组织实施。负责依附于城市道路建设各种管线、杆线及城市桥梁上架设各类市政管线的管理工作。负责城镇污水排入排水管网许可，拆除、改动城镇排水与污水处理设施方案审核，占用、挖掘城市道路审批，依附于城市道路建设各种管线、杆线等设施审批，特殊车辆在城市道路上行驶（包括经过城市桥梁）审批，城市桥梁上架设各类市政管线审批。负责履行户外广告设施设置的安全生产监督管理职责。负责管护范围内的城市道路、桥梁、雨水和雨污合流排水设施、路灯（景观照明）及其配套设施等城市市容和环境卫生、市政公用设施的维修、</w:t>
      </w:r>
      <w:r w:rsidRPr="00676C5C">
        <w:rPr>
          <w:rFonts w:ascii="仿宋_GB2312" w:eastAsia="仿宋_GB2312" w:hAnsi="Times New Roman" w:cs="Times New Roman" w:hint="eastAsia"/>
          <w:sz w:val="32"/>
          <w:szCs w:val="24"/>
        </w:rPr>
        <w:lastRenderedPageBreak/>
        <w:t xml:space="preserve">养护的安全生产监督管理职责。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六、负责园林绿化方面的行政职责和行政审批职责，依法审批改变绿化规划用地性质，迁移城市古树名木，砍伐、移植、修剪城市树木，城市园林绿化企业资质，临时占用城市绿化用地，城市工程设计方案绿地率达标等事项。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七、负责玉林城区建成区范围内设置、张贴商业广告、举办大型游乐活动、影响改变水资源、生态环境等特殊活动审核，城市建筑垃圾处置核准，单位和个人在城市建筑物、设施上张挂、张贴宣传品等的批准，城市大型户外广告设置的同意，因建设等特殊需要在街道两侧和公共场地临时堆放物料、</w:t>
      </w:r>
      <w:proofErr w:type="gramStart"/>
      <w:r w:rsidRPr="00676C5C">
        <w:rPr>
          <w:rFonts w:ascii="仿宋_GB2312" w:eastAsia="仿宋_GB2312" w:hAnsi="Times New Roman" w:cs="Times New Roman" w:hint="eastAsia"/>
          <w:sz w:val="32"/>
          <w:szCs w:val="24"/>
        </w:rPr>
        <w:t>搭建非</w:t>
      </w:r>
      <w:proofErr w:type="gramEnd"/>
      <w:r w:rsidRPr="00676C5C">
        <w:rPr>
          <w:rFonts w:ascii="仿宋_GB2312" w:eastAsia="仿宋_GB2312" w:hAnsi="Times New Roman" w:cs="Times New Roman" w:hint="eastAsia"/>
          <w:sz w:val="32"/>
          <w:szCs w:val="24"/>
        </w:rPr>
        <w:t xml:space="preserve">永久性建筑物、构筑物或者其他设施的同意等行政许可项目的审批工作。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八、城市市容环境卫生管理，城市规划、建设、房产管理，城市绿化管理，城市市政公用管理，城市建筑垃圾管理，等方面法律、法规、规章规定的行政处罚、行政强制及与之相关的行政</w:t>
      </w:r>
      <w:proofErr w:type="gramStart"/>
      <w:r w:rsidRPr="00676C5C">
        <w:rPr>
          <w:rFonts w:ascii="仿宋_GB2312" w:eastAsia="仿宋_GB2312" w:hAnsi="Times New Roman" w:cs="Times New Roman" w:hint="eastAsia"/>
          <w:sz w:val="32"/>
          <w:szCs w:val="24"/>
        </w:rPr>
        <w:t>检查等执法权</w:t>
      </w:r>
      <w:proofErr w:type="gramEnd"/>
      <w:r w:rsidRPr="00676C5C">
        <w:rPr>
          <w:rFonts w:ascii="仿宋_GB2312" w:eastAsia="仿宋_GB2312" w:hAnsi="Times New Roman" w:cs="Times New Roman" w:hint="eastAsia"/>
          <w:sz w:val="32"/>
          <w:szCs w:val="24"/>
        </w:rPr>
        <w:t xml:space="preserve">。 </w:t>
      </w:r>
      <w:r w:rsidRPr="00676C5C">
        <w:rPr>
          <w:rFonts w:ascii="仿宋_GB2312" w:eastAsia="仿宋_GB2312" w:hAnsi="Times New Roman" w:cs="Times New Roman" w:hint="eastAsia"/>
          <w:sz w:val="32"/>
          <w:szCs w:val="24"/>
        </w:rPr>
        <w:t>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九、工商行政管理方面法律、法规、规章规定的，对在</w:t>
      </w:r>
      <w:r w:rsidRPr="00676C5C">
        <w:rPr>
          <w:rFonts w:ascii="仿宋_GB2312" w:eastAsia="仿宋_GB2312" w:hAnsi="Times New Roman" w:cs="Times New Roman" w:hint="eastAsia"/>
          <w:sz w:val="32"/>
          <w:szCs w:val="24"/>
        </w:rPr>
        <w:lastRenderedPageBreak/>
        <w:t>商品交易市场外、店面、居民小区以外无照从事经营活动的行政处罚、行政强制及与之相关的行政</w:t>
      </w:r>
      <w:proofErr w:type="gramStart"/>
      <w:r w:rsidRPr="00676C5C">
        <w:rPr>
          <w:rFonts w:ascii="仿宋_GB2312" w:eastAsia="仿宋_GB2312" w:hAnsi="Times New Roman" w:cs="Times New Roman" w:hint="eastAsia"/>
          <w:sz w:val="32"/>
          <w:szCs w:val="24"/>
        </w:rPr>
        <w:t>检查等执法权</w:t>
      </w:r>
      <w:proofErr w:type="gramEnd"/>
      <w:r w:rsidRPr="00676C5C">
        <w:rPr>
          <w:rFonts w:ascii="仿宋_GB2312" w:eastAsia="仿宋_GB2312" w:hAnsi="Times New Roman" w:cs="Times New Roman" w:hint="eastAsia"/>
          <w:sz w:val="32"/>
          <w:szCs w:val="24"/>
        </w:rPr>
        <w:t>。</w:t>
      </w: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十、燃气管理方面法律、法规、规章规定的除吊销燃气经营许可证外的行政处罚、行政强制及与之相关的行政</w:t>
      </w:r>
      <w:proofErr w:type="gramStart"/>
      <w:r w:rsidRPr="00676C5C">
        <w:rPr>
          <w:rFonts w:ascii="仿宋_GB2312" w:eastAsia="仿宋_GB2312" w:hAnsi="Times New Roman" w:cs="Times New Roman" w:hint="eastAsia"/>
          <w:sz w:val="32"/>
          <w:szCs w:val="24"/>
        </w:rPr>
        <w:t>检查等执法权</w:t>
      </w:r>
      <w:proofErr w:type="gramEnd"/>
      <w:r w:rsidRPr="00676C5C">
        <w:rPr>
          <w:rFonts w:ascii="仿宋_GB2312" w:eastAsia="仿宋_GB2312" w:hAnsi="Times New Roman" w:cs="Times New Roman" w:hint="eastAsia"/>
          <w:sz w:val="32"/>
          <w:szCs w:val="24"/>
        </w:rPr>
        <w:t>。</w:t>
      </w: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十一、负责玉林城区建成区范围内的殡葬管理方面法律、法规、规章规定的行政处罚、行政强制及与之相关的行政</w:t>
      </w:r>
      <w:proofErr w:type="gramStart"/>
      <w:r w:rsidRPr="00676C5C">
        <w:rPr>
          <w:rFonts w:ascii="仿宋_GB2312" w:eastAsia="仿宋_GB2312" w:hAnsi="Times New Roman" w:cs="Times New Roman" w:hint="eastAsia"/>
          <w:sz w:val="32"/>
          <w:szCs w:val="24"/>
        </w:rPr>
        <w:t>检查等执法权</w:t>
      </w:r>
      <w:proofErr w:type="gramEnd"/>
      <w:r w:rsidRPr="00676C5C">
        <w:rPr>
          <w:rFonts w:ascii="仿宋_GB2312" w:eastAsia="仿宋_GB2312" w:hAnsi="Times New Roman" w:cs="Times New Roman" w:hint="eastAsia"/>
          <w:sz w:val="32"/>
          <w:szCs w:val="24"/>
        </w:rPr>
        <w:t>。</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十二、负责玉林城区建成区范围内的土地管理和矿产资源管理方面法律、法规、规章规定的，对违反土地管理方面的法律、法规、规章规定的行为（买卖或者以其他形式非法转让土地，违法占用耕地建窑、建坟或者擅自在耕地上建房、挖砂、采石、采矿、取土等，非法占用土地，擅自将农民集体所有的土地的使用权出让、转让或者出租用于非农业建设，不按照批准的用途使用国有土地等行为）的行政处罚、行政强制及与之相关的行政</w:t>
      </w:r>
      <w:proofErr w:type="gramStart"/>
      <w:r w:rsidRPr="00676C5C">
        <w:rPr>
          <w:rFonts w:ascii="仿宋_GB2312" w:eastAsia="仿宋_GB2312" w:hAnsi="Times New Roman" w:cs="Times New Roman" w:hint="eastAsia"/>
          <w:sz w:val="32"/>
          <w:szCs w:val="24"/>
        </w:rPr>
        <w:t>检查等执法权</w:t>
      </w:r>
      <w:proofErr w:type="gramEnd"/>
      <w:r w:rsidRPr="00676C5C">
        <w:rPr>
          <w:rFonts w:ascii="仿宋_GB2312" w:eastAsia="仿宋_GB2312" w:hAnsi="Times New Roman" w:cs="Times New Roman" w:hint="eastAsia"/>
          <w:sz w:val="32"/>
          <w:szCs w:val="24"/>
        </w:rPr>
        <w:t>；对违反矿产资源管理方面的法律、法规、规章规定的行为（未取得采矿许可证擅</w:t>
      </w:r>
      <w:r w:rsidRPr="00676C5C">
        <w:rPr>
          <w:rFonts w:ascii="仿宋_GB2312" w:eastAsia="仿宋_GB2312" w:hAnsi="Times New Roman" w:cs="Times New Roman" w:hint="eastAsia"/>
          <w:sz w:val="32"/>
          <w:szCs w:val="24"/>
        </w:rPr>
        <w:lastRenderedPageBreak/>
        <w:t>自采矿的，擅自进入国家规划矿区、对国民经济具有重要价值的矿区范围采矿的，擅自开采国家规定实行保护性开采的特定矿种；超越批准的矿山范围采矿；采取破坏性的开采方法开采矿产资源；买卖、出租或者以其他形式转让矿产资源，开采矿产资源造成环境污染等行为）的行政处罚、行政强制及与之相关的行政</w:t>
      </w:r>
      <w:proofErr w:type="gramStart"/>
      <w:r w:rsidRPr="00676C5C">
        <w:rPr>
          <w:rFonts w:ascii="仿宋_GB2312" w:eastAsia="仿宋_GB2312" w:hAnsi="Times New Roman" w:cs="Times New Roman" w:hint="eastAsia"/>
          <w:sz w:val="32"/>
          <w:szCs w:val="24"/>
        </w:rPr>
        <w:t>检查等执法权</w:t>
      </w:r>
      <w:proofErr w:type="gramEnd"/>
      <w:r w:rsidRPr="00676C5C">
        <w:rPr>
          <w:rFonts w:ascii="仿宋_GB2312" w:eastAsia="仿宋_GB2312" w:hAnsi="Times New Roman" w:cs="Times New Roman" w:hint="eastAsia"/>
          <w:sz w:val="32"/>
          <w:szCs w:val="24"/>
        </w:rPr>
        <w:t xml:space="preserve">。协助市自然资源局对违法勘查、越界勘查的处理工作。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十三、负责玉林城区建成区范围内的环境保护管理方面法律、法规、规章规定的，对将废油和其他含油废物（包括潲水油），排入下水道或者随意倾倒；在居住区、机关、学校、医院、疗养院等环境敏感区域从事切割、敲打、锤击，露天装卸或者堆放水泥、石灰、粉煤，露天喷漆或者屠宰、水产品加工、生物发酵等产生环境粉尘、恶臭污染的活动；违法建设产生油烟、振动污染的饮食业、娱乐业经营场所和产生恶臭污染项目；未密闭煤炭、煤矸石、煤渣、煤灰、水泥、石灰、石膏、砂土等易产生扬尘的物料；对不能密闭的易产生扬尘的物料，未设置不低于堆放</w:t>
      </w:r>
      <w:proofErr w:type="gramStart"/>
      <w:r w:rsidRPr="00676C5C">
        <w:rPr>
          <w:rFonts w:ascii="仿宋_GB2312" w:eastAsia="仿宋_GB2312" w:hAnsi="Times New Roman" w:cs="Times New Roman" w:hint="eastAsia"/>
          <w:sz w:val="32"/>
          <w:szCs w:val="24"/>
        </w:rPr>
        <w:t>物高度</w:t>
      </w:r>
      <w:proofErr w:type="gramEnd"/>
      <w:r w:rsidRPr="00676C5C">
        <w:rPr>
          <w:rFonts w:ascii="仿宋_GB2312" w:eastAsia="仿宋_GB2312" w:hAnsi="Times New Roman" w:cs="Times New Roman" w:hint="eastAsia"/>
          <w:sz w:val="32"/>
          <w:szCs w:val="24"/>
        </w:rPr>
        <w:t>的严密围挡，</w:t>
      </w:r>
      <w:r w:rsidRPr="00676C5C">
        <w:rPr>
          <w:rFonts w:ascii="仿宋_GB2312" w:eastAsia="仿宋_GB2312" w:hAnsi="Times New Roman" w:cs="Times New Roman" w:hint="eastAsia"/>
          <w:sz w:val="32"/>
          <w:szCs w:val="24"/>
        </w:rPr>
        <w:lastRenderedPageBreak/>
        <w:t>或者未采取有效覆盖措施防治扬尘污染；装卸</w:t>
      </w:r>
      <w:proofErr w:type="gramStart"/>
      <w:r w:rsidRPr="00676C5C">
        <w:rPr>
          <w:rFonts w:ascii="仿宋_GB2312" w:eastAsia="仿宋_GB2312" w:hAnsi="Times New Roman" w:cs="Times New Roman" w:hint="eastAsia"/>
          <w:sz w:val="32"/>
          <w:szCs w:val="24"/>
        </w:rPr>
        <w:t>物料未</w:t>
      </w:r>
      <w:proofErr w:type="gramEnd"/>
      <w:r w:rsidRPr="00676C5C">
        <w:rPr>
          <w:rFonts w:ascii="仿宋_GB2312" w:eastAsia="仿宋_GB2312" w:hAnsi="Times New Roman" w:cs="Times New Roman" w:hint="eastAsia"/>
          <w:sz w:val="32"/>
          <w:szCs w:val="24"/>
        </w:rPr>
        <w:t>采取密闭或者喷淋等方式控制扬尘排放；存放煤炭、煤矸石、煤渣、煤灰等物料，未采取防燃措施；未采取措施防止排放恶臭气体；排放油烟的餐饮服务业经营者未安装油烟净化设施，不正常使用油烟净化设施，超过排放标准排放油烟；在居民住宅楼、未配套设立专用烟道的商住综合楼、商住综合楼内与居住层相邻的商业楼层内新建、改建、扩建产生油烟、异味、废气的餐饮服务项目；在当地人民政府禁止的时段和区域内露天烧烤食品或者为露天烧烤食品提供场地；在人口集中地区对树木、花草喷洒剧毒、高毒农药，或者露天焚烧秸秆、落叶等产生烟尘污染的物质；在人口集中地区和其他依法需要特殊保护的区域内，焚烧沥青、油毡、橡胶、塑料、皮革、垃圾以及其他产生有毒有害烟尘和恶臭气体的物质；从事服装干洗和机动车维修等服务活动，未设置异味和废气处理装置等污染防治设施并保持正常使用，影响周边环境的环境违法行为的行政处罚、行政强制及与之相关的行政</w:t>
      </w:r>
      <w:proofErr w:type="gramStart"/>
      <w:r w:rsidRPr="00676C5C">
        <w:rPr>
          <w:rFonts w:ascii="仿宋_GB2312" w:eastAsia="仿宋_GB2312" w:hAnsi="Times New Roman" w:cs="Times New Roman" w:hint="eastAsia"/>
          <w:sz w:val="32"/>
          <w:szCs w:val="24"/>
        </w:rPr>
        <w:t>检查等执法权</w:t>
      </w:r>
      <w:proofErr w:type="gramEnd"/>
      <w:r w:rsidRPr="00676C5C">
        <w:rPr>
          <w:rFonts w:ascii="仿宋_GB2312" w:eastAsia="仿宋_GB2312" w:hAnsi="Times New Roman" w:cs="Times New Roman" w:hint="eastAsia"/>
          <w:sz w:val="32"/>
          <w:szCs w:val="24"/>
        </w:rPr>
        <w:t>。</w:t>
      </w: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lastRenderedPageBreak/>
        <w:t>十四、负责市本级智慧城管建设管理工作；负责指导、监督全市智慧城管系统建设、运行工作。</w:t>
      </w: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十五、负责全市城市管理和行政执法的组织协调、业务指导、监督检查和考核评价；承担上级交办、跨区域及重大复杂违法违规案件的查处工作。</w:t>
      </w: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 xml:space="preserve">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 xml:space="preserve">十六、负责指导和检查各县（市、区）的城市管理和行政执法工作。 </w:t>
      </w:r>
    </w:p>
    <w:p w:rsidR="00676C5C" w:rsidRPr="00676C5C" w:rsidRDefault="00676C5C" w:rsidP="00C82DAD">
      <w:pPr>
        <w:spacing w:line="800" w:lineRule="exact"/>
        <w:ind w:firstLineChars="192" w:firstLine="614"/>
        <w:rPr>
          <w:rFonts w:ascii="仿宋_GB2312" w:eastAsia="仿宋_GB2312" w:hAnsi="Times New Roman" w:cs="Times New Roman"/>
          <w:sz w:val="32"/>
          <w:szCs w:val="24"/>
        </w:rPr>
      </w:pPr>
      <w:r w:rsidRPr="00676C5C">
        <w:rPr>
          <w:rFonts w:ascii="仿宋_GB2312" w:eastAsia="仿宋_GB2312" w:hAnsi="Times New Roman" w:cs="Times New Roman" w:hint="eastAsia"/>
          <w:sz w:val="32"/>
          <w:szCs w:val="24"/>
        </w:rPr>
        <w:t> </w:t>
      </w:r>
      <w:r w:rsidRPr="00676C5C">
        <w:rPr>
          <w:rFonts w:ascii="仿宋_GB2312" w:eastAsia="仿宋_GB2312" w:hAnsi="Times New Roman" w:cs="Times New Roman" w:hint="eastAsia"/>
          <w:sz w:val="32"/>
          <w:szCs w:val="24"/>
        </w:rPr>
        <w:t>十七、负责组织全市城市管理和行政执法人员执法资格审查、培训、考核等相关工作；负责有关城市管理和行政执法信访复议、应诉等工作。</w:t>
      </w:r>
    </w:p>
    <w:p w:rsidR="00C36ED4" w:rsidRPr="00C82DAD" w:rsidRDefault="00676C5C"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 </w:t>
      </w:r>
      <w:r w:rsidRPr="00C82DAD">
        <w:rPr>
          <w:rFonts w:ascii="仿宋_GB2312" w:eastAsia="仿宋_GB2312" w:hAnsi="Times New Roman" w:cs="Times New Roman" w:hint="eastAsia"/>
          <w:sz w:val="32"/>
          <w:szCs w:val="24"/>
        </w:rPr>
        <w:t xml:space="preserve"> 十八、履行法律、法规、规章规定的其他职责。承办市委、市人民政府和上级业务部门交办的其他事项。</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bookmarkStart w:id="5" w:name="_Toc29136"/>
      <w:r w:rsidRPr="00C82DAD">
        <w:rPr>
          <w:rFonts w:ascii="仿宋_GB2312" w:eastAsia="仿宋_GB2312" w:hAnsi="Times New Roman" w:cs="Times New Roman" w:hint="eastAsia"/>
          <w:sz w:val="32"/>
          <w:szCs w:val="24"/>
        </w:rPr>
        <w:t>（二）部门年度整体预算及支出情况</w:t>
      </w:r>
      <w:bookmarkEnd w:id="5"/>
    </w:p>
    <w:p w:rsidR="00084B68" w:rsidRDefault="00DE60EA" w:rsidP="00084B68">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根据部门预算批复文件，部门年初预算总额为19,751.18万元，其中基本支出为6,346.02万元，项目支出为13,405.16万元。经部门预算调整后，</w:t>
      </w:r>
      <w:bookmarkStart w:id="6" w:name="_GoBack"/>
      <w:bookmarkEnd w:id="6"/>
      <w:r w:rsidRPr="00C82DAD">
        <w:rPr>
          <w:rFonts w:ascii="仿宋_GB2312" w:eastAsia="仿宋_GB2312" w:hAnsi="Times New Roman" w:cs="Times New Roman" w:hint="eastAsia"/>
          <w:sz w:val="32"/>
          <w:szCs w:val="24"/>
        </w:rPr>
        <w:t>部门实际支出预算总额为9,485.2万元，其中基本支出为8,249.65万元，项</w:t>
      </w:r>
      <w:r w:rsidRPr="00C82DAD">
        <w:rPr>
          <w:rFonts w:ascii="仿宋_GB2312" w:eastAsia="仿宋_GB2312" w:hAnsi="Times New Roman" w:cs="Times New Roman" w:hint="eastAsia"/>
          <w:sz w:val="32"/>
          <w:szCs w:val="24"/>
        </w:rPr>
        <w:lastRenderedPageBreak/>
        <w:t>目支出为1,235.55万元。</w:t>
      </w:r>
      <w:bookmarkStart w:id="7" w:name="_Toc438552073"/>
      <w:bookmarkStart w:id="8" w:name="_Toc438552131"/>
      <w:bookmarkStart w:id="9" w:name="_Toc6457"/>
      <w:bookmarkStart w:id="10" w:name="_Toc20994"/>
      <w:bookmarkStart w:id="11" w:name="_Toc31212"/>
      <w:bookmarkStart w:id="12" w:name="_Toc12187"/>
      <w:bookmarkStart w:id="13" w:name="_Toc13923"/>
    </w:p>
    <w:p w:rsidR="0079429E" w:rsidRPr="00084B68" w:rsidRDefault="0079429E" w:rsidP="00084B68">
      <w:pPr>
        <w:spacing w:line="800" w:lineRule="exact"/>
        <w:rPr>
          <w:rFonts w:ascii="仿宋_GB2312" w:eastAsia="仿宋_GB2312" w:hAnsi="Times New Roman" w:cs="Times New Roman"/>
          <w:sz w:val="32"/>
          <w:szCs w:val="24"/>
        </w:rPr>
      </w:pPr>
      <w:r w:rsidRPr="00084B68">
        <w:rPr>
          <w:rFonts w:ascii="仿宋_GB2312" w:eastAsia="仿宋_GB2312" w:hAnsi="Times New Roman" w:cs="Times New Roman" w:hint="eastAsia"/>
          <w:b/>
          <w:sz w:val="32"/>
          <w:szCs w:val="24"/>
        </w:rPr>
        <w:t>二、预决算编制组织方面</w:t>
      </w:r>
    </w:p>
    <w:p w:rsidR="0079429E" w:rsidRPr="0079429E" w:rsidRDefault="0079429E" w:rsidP="00C82DAD">
      <w:pPr>
        <w:spacing w:line="800" w:lineRule="exact"/>
        <w:ind w:firstLineChars="192" w:firstLine="614"/>
        <w:rPr>
          <w:rFonts w:ascii="仿宋_GB2312" w:eastAsia="仿宋_GB2312" w:hAnsi="Times New Roman" w:cs="Times New Roman"/>
          <w:sz w:val="32"/>
          <w:szCs w:val="24"/>
        </w:rPr>
      </w:pPr>
      <w:r w:rsidRPr="0079429E">
        <w:rPr>
          <w:rFonts w:ascii="仿宋_GB2312" w:eastAsia="仿宋_GB2312" w:hAnsi="Times New Roman" w:cs="Times New Roman" w:hint="eastAsia"/>
          <w:sz w:val="32"/>
          <w:szCs w:val="24"/>
        </w:rPr>
        <w:t>预决算编制。编制完整性、项目支出编制合</w:t>
      </w:r>
      <w:proofErr w:type="gramStart"/>
      <w:r w:rsidRPr="0079429E">
        <w:rPr>
          <w:rFonts w:ascii="仿宋_GB2312" w:eastAsia="仿宋_GB2312" w:hAnsi="Times New Roman" w:cs="Times New Roman" w:hint="eastAsia"/>
          <w:sz w:val="32"/>
          <w:szCs w:val="24"/>
        </w:rPr>
        <w:t>规</w:t>
      </w:r>
      <w:proofErr w:type="gramEnd"/>
      <w:r w:rsidRPr="0079429E">
        <w:rPr>
          <w:rFonts w:ascii="仿宋_GB2312" w:eastAsia="仿宋_GB2312" w:hAnsi="Times New Roman" w:cs="Times New Roman" w:hint="eastAsia"/>
          <w:sz w:val="32"/>
          <w:szCs w:val="24"/>
        </w:rPr>
        <w:t>性、预算编制细化程度、预算控制率、预决算编制说明、预算绩效目标编制。我局本年度的预算编制已把公共预算财政拨款，政府性基金，上年结转结余收入全部编入部门预算，预算编制完整有效。项目支出按照规定编制政府采购预算，所有新增资产的预算都照规定编制进行，项目支出编制合</w:t>
      </w:r>
      <w:proofErr w:type="gramStart"/>
      <w:r w:rsidRPr="0079429E">
        <w:rPr>
          <w:rFonts w:ascii="仿宋_GB2312" w:eastAsia="仿宋_GB2312" w:hAnsi="Times New Roman" w:cs="Times New Roman" w:hint="eastAsia"/>
          <w:sz w:val="32"/>
          <w:szCs w:val="24"/>
        </w:rPr>
        <w:t>规</w:t>
      </w:r>
      <w:proofErr w:type="gramEnd"/>
      <w:r w:rsidRPr="0079429E">
        <w:rPr>
          <w:rFonts w:ascii="仿宋_GB2312" w:eastAsia="仿宋_GB2312" w:hAnsi="Times New Roman" w:cs="Times New Roman" w:hint="eastAsia"/>
          <w:sz w:val="32"/>
          <w:szCs w:val="24"/>
        </w:rPr>
        <w:t>。</w:t>
      </w:r>
    </w:p>
    <w:p w:rsidR="0079429E" w:rsidRPr="00B55601" w:rsidRDefault="0079429E" w:rsidP="00B55601">
      <w:pPr>
        <w:spacing w:line="800" w:lineRule="exact"/>
        <w:rPr>
          <w:rFonts w:ascii="仿宋_GB2312" w:eastAsia="仿宋_GB2312" w:hAnsi="Times New Roman" w:cs="Times New Roman"/>
          <w:b/>
          <w:sz w:val="32"/>
          <w:szCs w:val="24"/>
        </w:rPr>
      </w:pPr>
      <w:r w:rsidRPr="00B55601">
        <w:rPr>
          <w:rFonts w:ascii="仿宋_GB2312" w:eastAsia="仿宋_GB2312" w:hAnsi="Times New Roman" w:cs="Times New Roman" w:hint="eastAsia"/>
          <w:b/>
          <w:sz w:val="32"/>
          <w:szCs w:val="24"/>
        </w:rPr>
        <w:t>三、预算执行及管理情况</w:t>
      </w:r>
    </w:p>
    <w:p w:rsidR="0079429E" w:rsidRPr="0079429E" w:rsidRDefault="0079429E" w:rsidP="00C82DAD">
      <w:pPr>
        <w:spacing w:line="800" w:lineRule="exact"/>
        <w:ind w:firstLineChars="192" w:firstLine="614"/>
        <w:rPr>
          <w:rFonts w:ascii="仿宋_GB2312" w:eastAsia="仿宋_GB2312" w:hAnsi="Times New Roman" w:cs="Times New Roman"/>
          <w:sz w:val="32"/>
          <w:szCs w:val="24"/>
        </w:rPr>
      </w:pPr>
      <w:r w:rsidRPr="0079429E">
        <w:rPr>
          <w:rFonts w:ascii="仿宋_GB2312" w:eastAsia="仿宋_GB2312" w:hAnsi="Times New Roman" w:cs="Times New Roman" w:hint="eastAsia"/>
          <w:sz w:val="32"/>
          <w:szCs w:val="24"/>
        </w:rPr>
        <w:t>（一）预算执行情况。本部门严格按照编制预算有效使用预算资金，严格控制支出数，有完善的、严格的审批手续。专项资金下达和拨付均按照规范程序，报财政审批后支出。</w:t>
      </w:r>
    </w:p>
    <w:p w:rsidR="00C82DAD" w:rsidRPr="00C82DAD" w:rsidRDefault="00C82DAD"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（二）</w:t>
      </w:r>
      <w:r w:rsidR="0079429E" w:rsidRPr="0079429E">
        <w:rPr>
          <w:rFonts w:ascii="仿宋_GB2312" w:eastAsia="仿宋_GB2312" w:hAnsi="Times New Roman" w:cs="Times New Roman" w:hint="eastAsia"/>
          <w:sz w:val="32"/>
          <w:szCs w:val="24"/>
        </w:rPr>
        <w:t>预决算管理情况。我局使用预算资金符合国家和地方财经法规和财务管理制度规定，资金的支出有完整的审批程序和手续，资金的拨付均按照规定进行拨付，符合部门预算批复的用途，不存在截留、挤占、挪用、虚列支出等情况。</w:t>
      </w:r>
    </w:p>
    <w:p w:rsidR="0079429E" w:rsidRPr="0079429E" w:rsidRDefault="00C82DAD"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lastRenderedPageBreak/>
        <w:t>（三）</w:t>
      </w:r>
      <w:r w:rsidR="0079429E" w:rsidRPr="0079429E">
        <w:rPr>
          <w:rFonts w:ascii="仿宋_GB2312" w:eastAsia="仿宋_GB2312" w:hAnsi="Times New Roman" w:cs="Times New Roman" w:hint="eastAsia"/>
          <w:sz w:val="32"/>
          <w:szCs w:val="24"/>
        </w:rPr>
        <w:t>单位财务管理情况。本部门为更好执行预算支出，保障公共资金的有效使用，制定了《玉林市城市管理监督局财务管理制度》，本部门的会计核算、资金管理、会计档案管理等均严格按照财经法规、财务管理制度执行。</w:t>
      </w:r>
    </w:p>
    <w:p w:rsidR="0079429E" w:rsidRPr="0079429E" w:rsidRDefault="00C82DAD"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（四）</w:t>
      </w:r>
      <w:r w:rsidR="0079429E" w:rsidRPr="0079429E">
        <w:rPr>
          <w:rFonts w:ascii="仿宋_GB2312" w:eastAsia="仿宋_GB2312" w:hAnsi="Times New Roman" w:cs="Times New Roman" w:hint="eastAsia"/>
          <w:sz w:val="32"/>
          <w:szCs w:val="24"/>
        </w:rPr>
        <w:t>绩效评价开展情况。年初编制部门预算的时候按要求开展绩效目标编制、开展部门整体支出绩效自评，并及时报送相关自评材料。</w:t>
      </w:r>
    </w:p>
    <w:p w:rsidR="0079429E" w:rsidRPr="00B55601" w:rsidRDefault="0079429E" w:rsidP="00B55601">
      <w:pPr>
        <w:spacing w:line="800" w:lineRule="exact"/>
        <w:rPr>
          <w:rFonts w:ascii="仿宋_GB2312" w:eastAsia="仿宋_GB2312" w:hAnsi="Times New Roman" w:cs="Times New Roman"/>
          <w:b/>
          <w:sz w:val="32"/>
          <w:szCs w:val="24"/>
        </w:rPr>
      </w:pPr>
      <w:bookmarkStart w:id="14" w:name="_Toc438552132"/>
      <w:bookmarkStart w:id="15" w:name="_Toc438552074"/>
      <w:bookmarkEnd w:id="7"/>
      <w:bookmarkEnd w:id="8"/>
      <w:bookmarkEnd w:id="9"/>
      <w:bookmarkEnd w:id="10"/>
      <w:bookmarkEnd w:id="11"/>
      <w:bookmarkEnd w:id="12"/>
      <w:bookmarkEnd w:id="13"/>
      <w:r w:rsidRPr="00B55601">
        <w:rPr>
          <w:rFonts w:ascii="仿宋_GB2312" w:eastAsia="仿宋_GB2312" w:hAnsi="Times New Roman" w:cs="Times New Roman" w:hint="eastAsia"/>
          <w:b/>
          <w:sz w:val="32"/>
          <w:szCs w:val="24"/>
        </w:rPr>
        <w:t>四、预算单位履职及效益情况。</w:t>
      </w:r>
      <w:bookmarkStart w:id="16" w:name="_Toc26773"/>
      <w:bookmarkStart w:id="17" w:name="_Toc26110"/>
      <w:bookmarkStart w:id="18" w:name="_Toc22382"/>
      <w:bookmarkStart w:id="19" w:name="_Toc12030"/>
    </w:p>
    <w:bookmarkEnd w:id="14"/>
    <w:bookmarkEnd w:id="15"/>
    <w:bookmarkEnd w:id="16"/>
    <w:bookmarkEnd w:id="17"/>
    <w:bookmarkEnd w:id="18"/>
    <w:bookmarkEnd w:id="19"/>
    <w:p w:rsidR="00DE60EA" w:rsidRPr="00C82DAD" w:rsidRDefault="0079429E"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本部门</w:t>
      </w:r>
      <w:r w:rsidR="00DE60EA" w:rsidRPr="00C82DAD">
        <w:rPr>
          <w:rFonts w:ascii="仿宋_GB2312" w:eastAsia="仿宋_GB2312" w:hAnsi="Times New Roman" w:cs="Times New Roman" w:hint="eastAsia"/>
          <w:sz w:val="32"/>
          <w:szCs w:val="24"/>
        </w:rPr>
        <w:t>完善城市基础设施建设、持续提升城市管理水平、推进行政审批提速增效、积极做好信访和宣传等工作取得了良好成效，实现创建文明城市、卫生城市，部门整体履职成效较好。但也存在市政设施未能全面及时养护，建筑垃圾治理有所缺失；部分项目预算执行率较低，项目支出进度有待加快；绩效目标设置不够规范，预算绩效管理工作有待加强等问题。</w:t>
      </w:r>
    </w:p>
    <w:p w:rsidR="00DE60EA" w:rsidRPr="00C82DAD" w:rsidRDefault="00C82DAD"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一、</w:t>
      </w:r>
      <w:r w:rsidR="00DE60EA" w:rsidRPr="00C82DAD">
        <w:rPr>
          <w:rFonts w:ascii="仿宋_GB2312" w:eastAsia="仿宋_GB2312" w:hAnsi="Times New Roman" w:cs="Times New Roman" w:hint="eastAsia"/>
          <w:sz w:val="32"/>
          <w:szCs w:val="24"/>
        </w:rPr>
        <w:t>部门</w:t>
      </w:r>
      <w:r w:rsidRPr="00C82DAD">
        <w:rPr>
          <w:rFonts w:ascii="仿宋_GB2312" w:eastAsia="仿宋_GB2312" w:hAnsi="Times New Roman" w:cs="Times New Roman" w:hint="eastAsia"/>
          <w:sz w:val="32"/>
          <w:szCs w:val="24"/>
        </w:rPr>
        <w:t>整体绩效自评</w:t>
      </w:r>
      <w:r w:rsidR="00DE60EA" w:rsidRPr="00C82DAD">
        <w:rPr>
          <w:rFonts w:ascii="仿宋_GB2312" w:eastAsia="仿宋_GB2312" w:hAnsi="Times New Roman" w:cs="Times New Roman" w:hint="eastAsia"/>
          <w:sz w:val="32"/>
          <w:szCs w:val="24"/>
        </w:rPr>
        <w:t>如下：</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1.不断完善城市基础设施。</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lastRenderedPageBreak/>
        <w:t>一是环卫项目建设向纵深发展，积极对接社会资本推进垃圾资源化、无害化处置，协调解决市生活垃圾焚烧发电项目在运营中出现的各种相关问题，加强对生活垃圾焚烧处理的监管，继续配合餐厨垃圾集中收运处理工作。二是市政设施配套建设有序进行</w:t>
      </w:r>
      <w:r w:rsidR="0079429E" w:rsidRPr="00C82DAD">
        <w:rPr>
          <w:rFonts w:ascii="仿宋_GB2312" w:eastAsia="仿宋_GB2312" w:hAnsi="Times New Roman" w:cs="Times New Roman" w:hint="eastAsia"/>
          <w:sz w:val="32"/>
          <w:szCs w:val="24"/>
        </w:rPr>
        <w:t>。</w:t>
      </w:r>
      <w:r w:rsidRPr="00C82DAD">
        <w:rPr>
          <w:rFonts w:ascii="仿宋_GB2312" w:eastAsia="仿宋_GB2312" w:hAnsi="Times New Roman" w:cs="Times New Roman" w:hint="eastAsia"/>
          <w:sz w:val="32"/>
          <w:szCs w:val="24"/>
        </w:rPr>
        <w:t>三是垃圾分类稳步推进效果明显，修订了《玉林市城市生活垃圾分类工作考核暂行办法》，制订玉林市生活垃圾分类投放指引和工作指引，持续开展形式多样的垃圾分类宣传活动，有效提高群众垃圾分类意识。四是城市亮化</w:t>
      </w:r>
      <w:proofErr w:type="gramStart"/>
      <w:r w:rsidRPr="00C82DAD">
        <w:rPr>
          <w:rFonts w:ascii="仿宋_GB2312" w:eastAsia="仿宋_GB2312" w:hAnsi="Times New Roman" w:cs="Times New Roman" w:hint="eastAsia"/>
          <w:sz w:val="32"/>
          <w:szCs w:val="24"/>
        </w:rPr>
        <w:t>管护抓</w:t>
      </w:r>
      <w:proofErr w:type="gramEnd"/>
      <w:r w:rsidRPr="00C82DAD">
        <w:rPr>
          <w:rFonts w:ascii="仿宋_GB2312" w:eastAsia="仿宋_GB2312" w:hAnsi="Times New Roman" w:cs="Times New Roman" w:hint="eastAsia"/>
          <w:sz w:val="32"/>
          <w:szCs w:val="24"/>
        </w:rPr>
        <w:t>实抓细，做好照明设施的日常管护工作，强化合同能源改造项目涉及的道路的巡查力度，加强小街小巷路灯管护，强化夜景灯光管理，确保照明设施正常安全运行，继续推进和把控好玉林城区LED路灯节能改造一期和二期（合同能源管理模式）项目后续管理工作，巩固和提升节能成效。</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2.持续开展治脏治乱行动。</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一是严格执法抓规范，围绕服务保障创文明城市会等重大活动，清理整治乱摆乱卖、乱停乱放、乱搭乱建，规范户</w:t>
      </w:r>
      <w:r w:rsidRPr="00C82DAD">
        <w:rPr>
          <w:rFonts w:ascii="仿宋_GB2312" w:eastAsia="仿宋_GB2312" w:hAnsi="Times New Roman" w:cs="Times New Roman" w:hint="eastAsia"/>
          <w:sz w:val="32"/>
          <w:szCs w:val="24"/>
        </w:rPr>
        <w:lastRenderedPageBreak/>
        <w:t>外广告、规范整治车辆乱停、规范校园周边整治、严格落实违法建设专项治理等。二是对标对表优化城市环境卫生，加强道路清扫保洁精细化作业，认真落实清扫保洁标准化管理，城区生活垃圾日产日清，压缩转运率100%、密闭</w:t>
      </w:r>
      <w:proofErr w:type="gramStart"/>
      <w:r w:rsidRPr="00C82DAD">
        <w:rPr>
          <w:rFonts w:ascii="仿宋_GB2312" w:eastAsia="仿宋_GB2312" w:hAnsi="Times New Roman" w:cs="Times New Roman" w:hint="eastAsia"/>
          <w:sz w:val="32"/>
          <w:szCs w:val="24"/>
        </w:rPr>
        <w:t>化运输率</w:t>
      </w:r>
      <w:proofErr w:type="gramEnd"/>
      <w:r w:rsidRPr="00C82DAD">
        <w:rPr>
          <w:rFonts w:ascii="仿宋_GB2312" w:eastAsia="仿宋_GB2312" w:hAnsi="Times New Roman" w:cs="Times New Roman" w:hint="eastAsia"/>
          <w:sz w:val="32"/>
          <w:szCs w:val="24"/>
        </w:rPr>
        <w:t>100%，进一步规范城区生活垃圾管理。三是持之以恒抓好大气污染防治，采取“洒水车+扫地车+抑尘车+人工清洁”四位一体作业模式，大力整治泥头车道路遗撒、扬尘污染，持续整治夜市烧烤流动摊，有效净化了大气环境。四是全面强化城市燃气执法，打击非法储存、充装、经营瓶装液化石油气行为，有效杜绝了燃气安全隐患。五是开展打击整治养老诈骗专项行动，加强组织保障、线索摸排、清理整治、宣传发动，铲除滋生养老诈骗的“土壤”。</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3.持续提升城市管理水平。</w:t>
      </w:r>
    </w:p>
    <w:p w:rsidR="00C82DAD"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一是城区环卫市场一体化项目正式启动，积极推动环卫管理事业向“作业专业化、经营企业化、服务社会化、管理规范化”和“事企分开、管办分离”的方向发展，对项目环境卫生服务质量进行监督，确保服务规范有序、健康发展。</w:t>
      </w:r>
      <w:r w:rsidR="005634FF">
        <w:rPr>
          <w:rFonts w:ascii="仿宋_GB2312" w:eastAsia="仿宋_GB2312" w:hAnsi="Times New Roman" w:cs="Times New Roman" w:hint="eastAsia"/>
          <w:sz w:val="32"/>
          <w:szCs w:val="24"/>
        </w:rPr>
        <w:t xml:space="preserve">        </w:t>
      </w:r>
      <w:r w:rsidRPr="00C82DAD">
        <w:rPr>
          <w:rFonts w:ascii="仿宋_GB2312" w:eastAsia="仿宋_GB2312" w:hAnsi="Times New Roman" w:cs="Times New Roman" w:hint="eastAsia"/>
          <w:sz w:val="32"/>
          <w:szCs w:val="24"/>
        </w:rPr>
        <w:lastRenderedPageBreak/>
        <w:t>二是推动建筑垃圾处置体系建设实现“三个转变”，公开发布《关于玉林城区建筑垃圾统一运送到临时消纳场处置的告知书》，规范城区建筑垃圾运输管理。三是规范施工围挡、垃圾运输收集等管理，印发《玉林市城市管理监督局 玉林市住房和城乡建设局 玉林市自然资源局关于印发施工围挡设置管理规定的通知》等文件通知确保玉林市施工围挡、垃圾运输收集等管理规范。四是创新执法模式，实施“简易行政处罚”，同时进一步落实发现者有权执法管理，提高监管和执法效率。五是持续推进城市管理规范化智能化市场化，推进共享单车规范化管理等工作，继续协调大数据、财政等部门推进城市综合管理服务平台的建设完善。</w:t>
      </w:r>
      <w:bookmarkStart w:id="20" w:name="_Toc438552077"/>
      <w:bookmarkStart w:id="21" w:name="_Toc438552135"/>
      <w:bookmarkStart w:id="22" w:name="_Toc30397"/>
      <w:bookmarkStart w:id="23" w:name="_Toc19261"/>
      <w:bookmarkStart w:id="24" w:name="_Toc9490"/>
      <w:bookmarkStart w:id="25" w:name="_Toc15503"/>
      <w:bookmarkStart w:id="26" w:name="_Toc18447"/>
      <w:r w:rsidR="00C82DAD" w:rsidRPr="00C82DAD">
        <w:rPr>
          <w:rFonts w:ascii="仿宋_GB2312" w:eastAsia="仿宋_GB2312" w:hAnsi="Times New Roman" w:cs="Times New Roman" w:hint="eastAsia"/>
          <w:sz w:val="32"/>
          <w:szCs w:val="24"/>
        </w:rPr>
        <w:t>二</w:t>
      </w:r>
      <w:r w:rsidRPr="00C82DAD">
        <w:rPr>
          <w:rFonts w:ascii="仿宋_GB2312" w:eastAsia="仿宋_GB2312" w:hAnsi="Times New Roman" w:cs="Times New Roman" w:hint="eastAsia"/>
          <w:sz w:val="32"/>
          <w:szCs w:val="24"/>
        </w:rPr>
        <w:t>、</w:t>
      </w:r>
      <w:bookmarkEnd w:id="20"/>
      <w:bookmarkEnd w:id="21"/>
      <w:r w:rsidRPr="00C82DAD">
        <w:rPr>
          <w:rFonts w:ascii="仿宋_GB2312" w:eastAsia="仿宋_GB2312" w:hAnsi="Times New Roman" w:cs="Times New Roman" w:hint="eastAsia"/>
          <w:sz w:val="32"/>
          <w:szCs w:val="24"/>
        </w:rPr>
        <w:t>存在的问题及</w:t>
      </w:r>
      <w:bookmarkEnd w:id="22"/>
      <w:bookmarkEnd w:id="23"/>
      <w:bookmarkEnd w:id="24"/>
      <w:bookmarkEnd w:id="25"/>
      <w:r w:rsidRPr="00C82DAD">
        <w:rPr>
          <w:rFonts w:ascii="仿宋_GB2312" w:eastAsia="仿宋_GB2312" w:hAnsi="Times New Roman" w:cs="Times New Roman" w:hint="eastAsia"/>
          <w:sz w:val="32"/>
          <w:szCs w:val="24"/>
        </w:rPr>
        <w:t>建议</w:t>
      </w:r>
      <w:bookmarkStart w:id="27" w:name="_Toc10157"/>
      <w:bookmarkEnd w:id="26"/>
    </w:p>
    <w:p w:rsidR="00DE60EA" w:rsidRPr="00C82DAD" w:rsidRDefault="005634FF" w:rsidP="00C82DAD">
      <w:pPr>
        <w:spacing w:line="800" w:lineRule="exact"/>
        <w:ind w:firstLineChars="192" w:firstLine="614"/>
        <w:rPr>
          <w:rFonts w:ascii="仿宋_GB2312" w:eastAsia="仿宋_GB2312" w:hAnsi="Times New Roman" w:cs="Times New Roman"/>
          <w:sz w:val="32"/>
          <w:szCs w:val="24"/>
        </w:rPr>
      </w:pPr>
      <w:r>
        <w:rPr>
          <w:rFonts w:ascii="仿宋_GB2312" w:eastAsia="仿宋_GB2312" w:hAnsi="Times New Roman" w:cs="Times New Roman" w:hint="eastAsia"/>
          <w:sz w:val="32"/>
          <w:szCs w:val="24"/>
        </w:rPr>
        <w:t>二、</w:t>
      </w:r>
      <w:r w:rsidR="00DE60EA" w:rsidRPr="00C82DAD">
        <w:rPr>
          <w:rFonts w:ascii="仿宋_GB2312" w:eastAsia="仿宋_GB2312" w:hAnsi="Times New Roman" w:cs="Times New Roman" w:hint="eastAsia"/>
          <w:sz w:val="32"/>
          <w:szCs w:val="24"/>
        </w:rPr>
        <w:t>存在的问题</w:t>
      </w:r>
      <w:bookmarkEnd w:id="27"/>
    </w:p>
    <w:p w:rsidR="00DE60EA" w:rsidRPr="00C82DAD" w:rsidRDefault="0079429E"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1.</w:t>
      </w:r>
      <w:r w:rsidR="00DE60EA" w:rsidRPr="00C82DAD">
        <w:rPr>
          <w:rFonts w:ascii="仿宋_GB2312" w:eastAsia="仿宋_GB2312" w:hAnsi="Times New Roman" w:cs="Times New Roman" w:hint="eastAsia"/>
          <w:sz w:val="32"/>
          <w:szCs w:val="24"/>
        </w:rPr>
        <w:t>部分项目预算执行率较低，项目支出进度有待加快。</w:t>
      </w:r>
    </w:p>
    <w:p w:rsidR="00DE60EA" w:rsidRPr="00C82DAD" w:rsidRDefault="0079429E"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本部门</w:t>
      </w:r>
      <w:r w:rsidR="00DE60EA" w:rsidRPr="00C82DAD">
        <w:rPr>
          <w:rFonts w:ascii="仿宋_GB2312" w:eastAsia="仿宋_GB2312" w:hAnsi="Times New Roman" w:cs="Times New Roman" w:hint="eastAsia"/>
          <w:sz w:val="32"/>
          <w:szCs w:val="24"/>
        </w:rPr>
        <w:t>预算单位未做好子项目支出计划的统筹管理与安排，资金支付计划未做好均衡支付安排，</w:t>
      </w:r>
      <w:proofErr w:type="gramStart"/>
      <w:r w:rsidR="00DE60EA" w:rsidRPr="00C82DAD">
        <w:rPr>
          <w:rFonts w:ascii="仿宋_GB2312" w:eastAsia="仿宋_GB2312" w:hAnsi="Times New Roman" w:cs="Times New Roman" w:hint="eastAsia"/>
          <w:sz w:val="32"/>
          <w:szCs w:val="24"/>
        </w:rPr>
        <w:t>导致部</w:t>
      </w:r>
      <w:proofErr w:type="gramEnd"/>
      <w:r w:rsidR="00DE60EA" w:rsidRPr="00C82DAD">
        <w:rPr>
          <w:rFonts w:ascii="仿宋_GB2312" w:eastAsia="仿宋_GB2312" w:hAnsi="Times New Roman" w:cs="Times New Roman" w:hint="eastAsia"/>
          <w:sz w:val="32"/>
          <w:szCs w:val="24"/>
        </w:rPr>
        <w:t>分子项目支出预算执行率不高，项目预算和支出存在较大偏差，影响项</w:t>
      </w:r>
      <w:r w:rsidR="005634FF">
        <w:rPr>
          <w:rFonts w:ascii="仿宋_GB2312" w:eastAsia="仿宋_GB2312" w:hAnsi="Times New Roman" w:cs="Times New Roman" w:hint="eastAsia"/>
          <w:sz w:val="32"/>
          <w:szCs w:val="24"/>
        </w:rPr>
        <w:t xml:space="preserve">  </w:t>
      </w:r>
      <w:proofErr w:type="gramStart"/>
      <w:r w:rsidR="00DE60EA" w:rsidRPr="00C82DAD">
        <w:rPr>
          <w:rFonts w:ascii="仿宋_GB2312" w:eastAsia="仿宋_GB2312" w:hAnsi="Times New Roman" w:cs="Times New Roman" w:hint="eastAsia"/>
          <w:sz w:val="32"/>
          <w:szCs w:val="24"/>
        </w:rPr>
        <w:lastRenderedPageBreak/>
        <w:t>目实施</w:t>
      </w:r>
      <w:proofErr w:type="gramEnd"/>
      <w:r w:rsidR="00DE60EA" w:rsidRPr="00C82DAD">
        <w:rPr>
          <w:rFonts w:ascii="仿宋_GB2312" w:eastAsia="仿宋_GB2312" w:hAnsi="Times New Roman" w:cs="Times New Roman" w:hint="eastAsia"/>
          <w:sz w:val="32"/>
          <w:szCs w:val="24"/>
        </w:rPr>
        <w:t>效益。</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 xml:space="preserve"> </w:t>
      </w:r>
      <w:r w:rsidR="0079429E" w:rsidRPr="00C82DAD">
        <w:rPr>
          <w:rFonts w:ascii="仿宋_GB2312" w:eastAsia="仿宋_GB2312" w:hAnsi="Times New Roman" w:cs="Times New Roman" w:hint="eastAsia"/>
          <w:sz w:val="32"/>
          <w:szCs w:val="24"/>
        </w:rPr>
        <w:t>2.</w:t>
      </w:r>
      <w:r w:rsidRPr="00C82DAD">
        <w:rPr>
          <w:rFonts w:ascii="仿宋_GB2312" w:eastAsia="仿宋_GB2312" w:hAnsi="Times New Roman" w:cs="Times New Roman" w:hint="eastAsia"/>
          <w:sz w:val="32"/>
          <w:szCs w:val="24"/>
        </w:rPr>
        <w:t>绩效目标设置不够规范，预算绩效管理工作有待加强。</w:t>
      </w:r>
    </w:p>
    <w:p w:rsidR="00C82DAD" w:rsidRPr="00C82DAD" w:rsidRDefault="0079429E"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一是指标设置相关性不足，部分指标设置不够科学。二是绩效指标的设置不够规范，数量指标设置</w:t>
      </w:r>
      <w:proofErr w:type="gramStart"/>
      <w:r w:rsidRPr="00C82DAD">
        <w:rPr>
          <w:rFonts w:ascii="仿宋_GB2312" w:eastAsia="仿宋_GB2312" w:hAnsi="Times New Roman" w:cs="Times New Roman" w:hint="eastAsia"/>
          <w:sz w:val="32"/>
          <w:szCs w:val="24"/>
        </w:rPr>
        <w:t>时指标</w:t>
      </w:r>
      <w:proofErr w:type="gramEnd"/>
      <w:r w:rsidRPr="00C82DAD">
        <w:rPr>
          <w:rFonts w:ascii="仿宋_GB2312" w:eastAsia="仿宋_GB2312" w:hAnsi="Times New Roman" w:cs="Times New Roman" w:hint="eastAsia"/>
          <w:sz w:val="32"/>
          <w:szCs w:val="24"/>
        </w:rPr>
        <w:t>值描述过于繁琐</w:t>
      </w:r>
      <w:r w:rsidR="00DE60EA" w:rsidRPr="00C82DAD">
        <w:rPr>
          <w:rFonts w:ascii="仿宋_GB2312" w:eastAsia="仿宋_GB2312" w:hAnsi="Times New Roman" w:cs="Times New Roman" w:hint="eastAsia"/>
          <w:sz w:val="32"/>
          <w:szCs w:val="24"/>
        </w:rPr>
        <w:t>。</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 xml:space="preserve"> </w:t>
      </w:r>
      <w:r w:rsidR="00C82DAD" w:rsidRPr="00C82DAD">
        <w:rPr>
          <w:rFonts w:ascii="仿宋_GB2312" w:eastAsia="仿宋_GB2312" w:hAnsi="Times New Roman" w:cs="Times New Roman" w:hint="eastAsia"/>
          <w:sz w:val="32"/>
          <w:szCs w:val="24"/>
        </w:rPr>
        <w:t>三</w:t>
      </w:r>
      <w:r w:rsidR="0079429E" w:rsidRPr="00C82DAD">
        <w:rPr>
          <w:rFonts w:ascii="仿宋_GB2312" w:eastAsia="仿宋_GB2312" w:hAnsi="Times New Roman" w:cs="Times New Roman" w:hint="eastAsia"/>
          <w:sz w:val="32"/>
          <w:szCs w:val="24"/>
        </w:rPr>
        <w:t>、下一步工作计划</w:t>
      </w:r>
    </w:p>
    <w:p w:rsidR="00DE60EA" w:rsidRPr="00C82DAD" w:rsidRDefault="0079429E" w:rsidP="00C82DAD">
      <w:pPr>
        <w:spacing w:line="800" w:lineRule="exact"/>
        <w:ind w:firstLineChars="192" w:firstLine="614"/>
        <w:rPr>
          <w:rFonts w:ascii="仿宋_GB2312" w:eastAsia="仿宋_GB2312" w:hAnsi="Times New Roman" w:cs="Times New Roman"/>
          <w:sz w:val="32"/>
          <w:szCs w:val="24"/>
        </w:rPr>
      </w:pPr>
      <w:r w:rsidRPr="00C82DAD">
        <w:rPr>
          <w:rFonts w:ascii="仿宋_GB2312" w:eastAsia="仿宋_GB2312" w:hAnsi="Times New Roman" w:cs="Times New Roman" w:hint="eastAsia"/>
          <w:sz w:val="32"/>
          <w:szCs w:val="24"/>
        </w:rPr>
        <w:t>本部门</w:t>
      </w:r>
      <w:r w:rsidR="00DE60EA" w:rsidRPr="00C82DAD">
        <w:rPr>
          <w:rFonts w:ascii="仿宋_GB2312" w:eastAsia="仿宋_GB2312" w:hAnsi="Times New Roman" w:cs="Times New Roman" w:hint="eastAsia"/>
          <w:sz w:val="32"/>
          <w:szCs w:val="24"/>
        </w:rPr>
        <w:t>在明确项目预算资金量及相关项目内容后，做好资金支出进度计划，对资金支付条件、支付要求、支付进度等方面做好详细的规划，并在具体实施中，按照相关计划认真实施，提高财政资金使用效率。</w:t>
      </w:r>
      <w:r w:rsidRPr="00C82DAD">
        <w:rPr>
          <w:rFonts w:ascii="仿宋_GB2312" w:eastAsia="仿宋_GB2312" w:hAnsi="Times New Roman" w:cs="Times New Roman" w:hint="eastAsia"/>
          <w:sz w:val="32"/>
          <w:szCs w:val="24"/>
        </w:rPr>
        <w:t>同时，</w:t>
      </w:r>
      <w:r w:rsidR="00DE60EA" w:rsidRPr="00C82DAD">
        <w:rPr>
          <w:rFonts w:ascii="仿宋_GB2312" w:eastAsia="仿宋_GB2312" w:hAnsi="Times New Roman" w:cs="Times New Roman" w:hint="eastAsia"/>
          <w:sz w:val="32"/>
          <w:szCs w:val="24"/>
        </w:rPr>
        <w:t>各业务科室应加强资金支出进度意识，做好项目支出进度管理，及时监控项目支出进度，针对年度预计无法完成的支出，应及时与财政部门沟通，做好项目资金调减、资金结转等工作，进一步提高财政资金使用效率。</w:t>
      </w:r>
    </w:p>
    <w:p w:rsidR="00DE60EA" w:rsidRPr="00C82DAD" w:rsidRDefault="00DE60EA" w:rsidP="00C82DAD">
      <w:pPr>
        <w:spacing w:line="800" w:lineRule="exact"/>
        <w:ind w:firstLineChars="192" w:firstLine="614"/>
        <w:rPr>
          <w:rFonts w:ascii="仿宋_GB2312" w:eastAsia="仿宋_GB2312" w:hAnsi="Times New Roman" w:cs="Times New Roman"/>
          <w:sz w:val="32"/>
          <w:szCs w:val="24"/>
        </w:rPr>
      </w:pPr>
    </w:p>
    <w:sectPr w:rsidR="00DE60EA" w:rsidRPr="00C82D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B0" w:rsidRDefault="009326B0" w:rsidP="00DE60EA">
      <w:r>
        <w:separator/>
      </w:r>
    </w:p>
  </w:endnote>
  <w:endnote w:type="continuationSeparator" w:id="0">
    <w:p w:rsidR="009326B0" w:rsidRDefault="009326B0" w:rsidP="00DE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B0" w:rsidRDefault="009326B0" w:rsidP="00DE60EA">
      <w:r>
        <w:separator/>
      </w:r>
    </w:p>
  </w:footnote>
  <w:footnote w:type="continuationSeparator" w:id="0">
    <w:p w:rsidR="009326B0" w:rsidRDefault="009326B0" w:rsidP="00DE6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7B04D8"/>
    <w:multiLevelType w:val="singleLevel"/>
    <w:tmpl w:val="B87B04D8"/>
    <w:lvl w:ilvl="0">
      <w:start w:val="4"/>
      <w:numFmt w:val="chineseCounting"/>
      <w:suff w:val="nothing"/>
      <w:lvlText w:val="%1、"/>
      <w:lvlJc w:val="left"/>
      <w:pPr>
        <w:ind w:left="-10"/>
      </w:pPr>
      <w:rPr>
        <w:rFonts w:hint="eastAsia"/>
      </w:rPr>
    </w:lvl>
  </w:abstractNum>
  <w:abstractNum w:abstractNumId="1">
    <w:nsid w:val="568B944A"/>
    <w:multiLevelType w:val="singleLevel"/>
    <w:tmpl w:val="568B944A"/>
    <w:lvl w:ilvl="0">
      <w:start w:val="2"/>
      <w:numFmt w:val="chineseCounting"/>
      <w:suff w:val="nothing"/>
      <w:lvlText w:val="（%1）"/>
      <w:lvlJc w:val="left"/>
      <w:pPr>
        <w:ind w:left="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A7"/>
    <w:rsid w:val="0006035C"/>
    <w:rsid w:val="00084B68"/>
    <w:rsid w:val="000B0630"/>
    <w:rsid w:val="001456E6"/>
    <w:rsid w:val="00240347"/>
    <w:rsid w:val="002F70AE"/>
    <w:rsid w:val="00321856"/>
    <w:rsid w:val="00326CB3"/>
    <w:rsid w:val="00330941"/>
    <w:rsid w:val="00432ECB"/>
    <w:rsid w:val="00496FEE"/>
    <w:rsid w:val="00517AA8"/>
    <w:rsid w:val="005634FF"/>
    <w:rsid w:val="005F1A73"/>
    <w:rsid w:val="00676C5C"/>
    <w:rsid w:val="00677D83"/>
    <w:rsid w:val="006E6AC3"/>
    <w:rsid w:val="00703D88"/>
    <w:rsid w:val="0079429E"/>
    <w:rsid w:val="009326B0"/>
    <w:rsid w:val="009B0E9F"/>
    <w:rsid w:val="00A264DF"/>
    <w:rsid w:val="00B520EF"/>
    <w:rsid w:val="00B55601"/>
    <w:rsid w:val="00C17AA7"/>
    <w:rsid w:val="00C36ED4"/>
    <w:rsid w:val="00C55B3C"/>
    <w:rsid w:val="00C82DAD"/>
    <w:rsid w:val="00CD1C75"/>
    <w:rsid w:val="00DE60EA"/>
    <w:rsid w:val="00E87340"/>
    <w:rsid w:val="00EA1CC0"/>
    <w:rsid w:val="00EB7916"/>
    <w:rsid w:val="00EE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0EA"/>
    <w:rPr>
      <w:sz w:val="18"/>
      <w:szCs w:val="18"/>
    </w:rPr>
  </w:style>
  <w:style w:type="paragraph" w:styleId="a4">
    <w:name w:val="footer"/>
    <w:basedOn w:val="a"/>
    <w:link w:val="Char0"/>
    <w:uiPriority w:val="99"/>
    <w:unhideWhenUsed/>
    <w:rsid w:val="00DE60EA"/>
    <w:pPr>
      <w:tabs>
        <w:tab w:val="center" w:pos="4153"/>
        <w:tab w:val="right" w:pos="8306"/>
      </w:tabs>
      <w:snapToGrid w:val="0"/>
      <w:jc w:val="left"/>
    </w:pPr>
    <w:rPr>
      <w:sz w:val="18"/>
      <w:szCs w:val="18"/>
    </w:rPr>
  </w:style>
  <w:style w:type="character" w:customStyle="1" w:styleId="Char0">
    <w:name w:val="页脚 Char"/>
    <w:basedOn w:val="a0"/>
    <w:link w:val="a4"/>
    <w:uiPriority w:val="99"/>
    <w:rsid w:val="00DE60EA"/>
    <w:rPr>
      <w:sz w:val="18"/>
      <w:szCs w:val="18"/>
    </w:rPr>
  </w:style>
  <w:style w:type="paragraph" w:styleId="a5">
    <w:name w:val="footnote text"/>
    <w:basedOn w:val="a"/>
    <w:link w:val="Char1"/>
    <w:uiPriority w:val="99"/>
    <w:semiHidden/>
    <w:unhideWhenUsed/>
    <w:rsid w:val="00DE60EA"/>
    <w:pPr>
      <w:snapToGrid w:val="0"/>
      <w:jc w:val="left"/>
    </w:pPr>
    <w:rPr>
      <w:sz w:val="18"/>
      <w:szCs w:val="18"/>
    </w:rPr>
  </w:style>
  <w:style w:type="character" w:customStyle="1" w:styleId="Char1">
    <w:name w:val="脚注文本 Char"/>
    <w:basedOn w:val="a0"/>
    <w:link w:val="a5"/>
    <w:uiPriority w:val="99"/>
    <w:semiHidden/>
    <w:rsid w:val="00DE60EA"/>
    <w:rPr>
      <w:sz w:val="18"/>
      <w:szCs w:val="18"/>
    </w:rPr>
  </w:style>
  <w:style w:type="character" w:styleId="a6">
    <w:name w:val="footnote reference"/>
    <w:basedOn w:val="a0"/>
    <w:semiHidden/>
    <w:qFormat/>
    <w:rsid w:val="00DE60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6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60EA"/>
    <w:rPr>
      <w:sz w:val="18"/>
      <w:szCs w:val="18"/>
    </w:rPr>
  </w:style>
  <w:style w:type="paragraph" w:styleId="a4">
    <w:name w:val="footer"/>
    <w:basedOn w:val="a"/>
    <w:link w:val="Char0"/>
    <w:uiPriority w:val="99"/>
    <w:unhideWhenUsed/>
    <w:rsid w:val="00DE60EA"/>
    <w:pPr>
      <w:tabs>
        <w:tab w:val="center" w:pos="4153"/>
        <w:tab w:val="right" w:pos="8306"/>
      </w:tabs>
      <w:snapToGrid w:val="0"/>
      <w:jc w:val="left"/>
    </w:pPr>
    <w:rPr>
      <w:sz w:val="18"/>
      <w:szCs w:val="18"/>
    </w:rPr>
  </w:style>
  <w:style w:type="character" w:customStyle="1" w:styleId="Char0">
    <w:name w:val="页脚 Char"/>
    <w:basedOn w:val="a0"/>
    <w:link w:val="a4"/>
    <w:uiPriority w:val="99"/>
    <w:rsid w:val="00DE60EA"/>
    <w:rPr>
      <w:sz w:val="18"/>
      <w:szCs w:val="18"/>
    </w:rPr>
  </w:style>
  <w:style w:type="paragraph" w:styleId="a5">
    <w:name w:val="footnote text"/>
    <w:basedOn w:val="a"/>
    <w:link w:val="Char1"/>
    <w:uiPriority w:val="99"/>
    <w:semiHidden/>
    <w:unhideWhenUsed/>
    <w:rsid w:val="00DE60EA"/>
    <w:pPr>
      <w:snapToGrid w:val="0"/>
      <w:jc w:val="left"/>
    </w:pPr>
    <w:rPr>
      <w:sz w:val="18"/>
      <w:szCs w:val="18"/>
    </w:rPr>
  </w:style>
  <w:style w:type="character" w:customStyle="1" w:styleId="Char1">
    <w:name w:val="脚注文本 Char"/>
    <w:basedOn w:val="a0"/>
    <w:link w:val="a5"/>
    <w:uiPriority w:val="99"/>
    <w:semiHidden/>
    <w:rsid w:val="00DE60EA"/>
    <w:rPr>
      <w:sz w:val="18"/>
      <w:szCs w:val="18"/>
    </w:rPr>
  </w:style>
  <w:style w:type="character" w:styleId="a6">
    <w:name w:val="footnote reference"/>
    <w:basedOn w:val="a0"/>
    <w:semiHidden/>
    <w:qFormat/>
    <w:rsid w:val="00DE6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7</cp:revision>
  <dcterms:created xsi:type="dcterms:W3CDTF">2023-10-19T08:55:00Z</dcterms:created>
  <dcterms:modified xsi:type="dcterms:W3CDTF">2023-10-20T09:46:00Z</dcterms:modified>
</cp:coreProperties>
</file>